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89573" w14:textId="77777777" w:rsidR="009F4C6D" w:rsidRDefault="009F4C6D" w:rsidP="004A3890">
      <w:pPr>
        <w:spacing w:after="0" w:line="240" w:lineRule="auto"/>
        <w:rPr>
          <w:rFonts w:ascii="Aptos Display" w:hAnsi="Aptos Display"/>
          <w:b/>
          <w:sz w:val="24"/>
          <w:szCs w:val="24"/>
        </w:rPr>
      </w:pPr>
      <w:r w:rsidRPr="009F4C6D">
        <w:rPr>
          <w:rFonts w:ascii="Aptos Display" w:hAnsi="Aptos Display"/>
          <w:b/>
          <w:sz w:val="24"/>
          <w:szCs w:val="24"/>
        </w:rPr>
        <w:t>Willamette Valley: The Perfect Private Setting</w:t>
      </w:r>
    </w:p>
    <w:p w14:paraId="54E831AE" w14:textId="77777777" w:rsidR="004A3890" w:rsidRPr="009F4C6D" w:rsidRDefault="004A3890" w:rsidP="004A3890">
      <w:pPr>
        <w:spacing w:after="0" w:line="240" w:lineRule="auto"/>
        <w:rPr>
          <w:rFonts w:ascii="Aptos Display" w:hAnsi="Aptos Display"/>
          <w:sz w:val="24"/>
          <w:szCs w:val="24"/>
        </w:rPr>
      </w:pPr>
    </w:p>
    <w:p w14:paraId="401A1C9E" w14:textId="087F7320" w:rsidR="009F4C6D" w:rsidRDefault="009F4C6D" w:rsidP="004A3890">
      <w:pPr>
        <w:spacing w:after="0" w:line="240" w:lineRule="auto"/>
        <w:rPr>
          <w:rFonts w:ascii="Aptos Display" w:hAnsi="Aptos Display"/>
          <w:b/>
          <w:sz w:val="22"/>
          <w:szCs w:val="22"/>
        </w:rPr>
      </w:pPr>
      <w:r w:rsidRPr="009F4C6D">
        <w:rPr>
          <w:rFonts w:ascii="Aptos Display" w:hAnsi="Aptos Display"/>
          <w:b/>
          <w:sz w:val="22"/>
          <w:szCs w:val="22"/>
        </w:rPr>
        <w:t>Private Wine Tasting and 2-Night</w:t>
      </w:r>
      <w:r>
        <w:rPr>
          <w:rFonts w:ascii="Aptos Display" w:hAnsi="Aptos Display"/>
          <w:b/>
          <w:sz w:val="22"/>
          <w:szCs w:val="22"/>
        </w:rPr>
        <w:t xml:space="preserve"> (weeknight)</w:t>
      </w:r>
      <w:r w:rsidRPr="009F4C6D">
        <w:rPr>
          <w:rFonts w:ascii="Aptos Display" w:hAnsi="Aptos Display"/>
          <w:b/>
          <w:sz w:val="22"/>
          <w:szCs w:val="22"/>
        </w:rPr>
        <w:t xml:space="preserve"> Buy</w:t>
      </w:r>
      <w:r w:rsidR="00A10A5D">
        <w:rPr>
          <w:rFonts w:ascii="Aptos Display" w:hAnsi="Aptos Display"/>
          <w:b/>
          <w:sz w:val="22"/>
          <w:szCs w:val="22"/>
        </w:rPr>
        <w:t>o</w:t>
      </w:r>
      <w:r w:rsidRPr="009F4C6D">
        <w:rPr>
          <w:rFonts w:ascii="Aptos Display" w:hAnsi="Aptos Display"/>
          <w:b/>
          <w:sz w:val="22"/>
          <w:szCs w:val="22"/>
        </w:rPr>
        <w:t>ut at The Setting Inn for 16</w:t>
      </w:r>
    </w:p>
    <w:p w14:paraId="67157CC9" w14:textId="77777777" w:rsidR="004A3890" w:rsidRPr="009F4C6D" w:rsidRDefault="004A3890" w:rsidP="004A3890">
      <w:pPr>
        <w:spacing w:after="0" w:line="240" w:lineRule="auto"/>
        <w:rPr>
          <w:rFonts w:ascii="Aptos Display" w:hAnsi="Aptos Display"/>
          <w:sz w:val="22"/>
          <w:szCs w:val="22"/>
        </w:rPr>
      </w:pPr>
    </w:p>
    <w:p w14:paraId="5FDB9537" w14:textId="77777777" w:rsidR="002D5CB5" w:rsidRPr="009F4C6D" w:rsidRDefault="009545A2" w:rsidP="004A3890">
      <w:pPr>
        <w:spacing w:after="0" w:line="240" w:lineRule="auto"/>
        <w:rPr>
          <w:rFonts w:ascii="Aptos Display" w:hAnsi="Aptos Display"/>
          <w:sz w:val="22"/>
          <w:szCs w:val="22"/>
        </w:rPr>
      </w:pPr>
      <w:r w:rsidRPr="009F4C6D">
        <w:rPr>
          <w:rFonts w:ascii="Aptos Display" w:hAnsi="Aptos Display"/>
          <w:sz w:val="22"/>
          <w:szCs w:val="22"/>
        </w:rPr>
        <w:t>This Experience for 16 Includes:</w:t>
      </w:r>
    </w:p>
    <w:p w14:paraId="05F84B2E" w14:textId="46BE4DCD" w:rsidR="002D5CB5" w:rsidRPr="009F4C6D" w:rsidRDefault="009545A2" w:rsidP="004A3890">
      <w:pPr>
        <w:numPr>
          <w:ilvl w:val="0"/>
          <w:numId w:val="1"/>
        </w:numPr>
        <w:spacing w:after="0" w:line="240" w:lineRule="auto"/>
        <w:rPr>
          <w:rFonts w:ascii="Aptos Display" w:hAnsi="Aptos Display"/>
          <w:sz w:val="22"/>
          <w:szCs w:val="22"/>
        </w:rPr>
      </w:pPr>
      <w:r w:rsidRPr="009F4C6D">
        <w:rPr>
          <w:rFonts w:ascii="Tahoma" w:hAnsi="Tahoma" w:cs="Tahoma"/>
          <w:sz w:val="22"/>
          <w:szCs w:val="22"/>
        </w:rPr>
        <w:t>﻿</w:t>
      </w:r>
      <w:r w:rsidRPr="009F4C6D">
        <w:rPr>
          <w:rFonts w:ascii="Aptos Display" w:hAnsi="Aptos Display"/>
          <w:sz w:val="22"/>
          <w:szCs w:val="22"/>
        </w:rPr>
        <w:t>2-night week</w:t>
      </w:r>
      <w:r w:rsidR="009F4C6D">
        <w:rPr>
          <w:rFonts w:ascii="Aptos Display" w:hAnsi="Aptos Display"/>
          <w:sz w:val="22"/>
          <w:szCs w:val="22"/>
        </w:rPr>
        <w:t>night</w:t>
      </w:r>
      <w:r w:rsidRPr="009F4C6D">
        <w:rPr>
          <w:rFonts w:ascii="Aptos Display" w:hAnsi="Aptos Display"/>
          <w:sz w:val="22"/>
          <w:szCs w:val="22"/>
        </w:rPr>
        <w:t xml:space="preserve"> stay at The Setting Inn, Willamette Valley for 16 </w:t>
      </w:r>
    </w:p>
    <w:p w14:paraId="2168E247" w14:textId="77777777" w:rsidR="002D5CB5" w:rsidRPr="009F4C6D" w:rsidRDefault="009545A2" w:rsidP="004A3890">
      <w:pPr>
        <w:numPr>
          <w:ilvl w:val="0"/>
          <w:numId w:val="1"/>
        </w:numPr>
        <w:spacing w:after="0" w:line="240" w:lineRule="auto"/>
        <w:rPr>
          <w:rFonts w:ascii="Aptos Display" w:hAnsi="Aptos Display"/>
          <w:sz w:val="22"/>
          <w:szCs w:val="22"/>
        </w:rPr>
      </w:pPr>
      <w:r w:rsidRPr="009F4C6D">
        <w:rPr>
          <w:rFonts w:ascii="Aptos Display" w:hAnsi="Aptos Display"/>
          <w:sz w:val="22"/>
          <w:szCs w:val="22"/>
        </w:rPr>
        <w:t>Private tasting of The Setting Wine</w:t>
      </w:r>
    </w:p>
    <w:p w14:paraId="4FBD8AF8" w14:textId="77777777" w:rsidR="002D5CB5" w:rsidRPr="009F4C6D" w:rsidRDefault="009545A2" w:rsidP="004A3890">
      <w:pPr>
        <w:numPr>
          <w:ilvl w:val="0"/>
          <w:numId w:val="1"/>
        </w:numPr>
        <w:spacing w:after="0" w:line="240" w:lineRule="auto"/>
        <w:rPr>
          <w:rFonts w:ascii="Aptos Display" w:hAnsi="Aptos Display"/>
          <w:sz w:val="22"/>
          <w:szCs w:val="22"/>
        </w:rPr>
      </w:pPr>
      <w:r w:rsidRPr="009F4C6D">
        <w:rPr>
          <w:rFonts w:ascii="Aptos Display" w:hAnsi="Aptos Display"/>
          <w:sz w:val="22"/>
          <w:szCs w:val="22"/>
        </w:rPr>
        <w:t>Winspire booking &amp; concierge service</w:t>
      </w:r>
    </w:p>
    <w:p w14:paraId="35892961" w14:textId="77777777" w:rsidR="002D5CB5" w:rsidRPr="009F4C6D" w:rsidRDefault="002D5CB5" w:rsidP="004A3890">
      <w:pPr>
        <w:spacing w:after="0" w:line="240" w:lineRule="auto"/>
        <w:rPr>
          <w:rFonts w:ascii="Aptos Display" w:hAnsi="Aptos Display"/>
          <w:sz w:val="22"/>
          <w:szCs w:val="22"/>
        </w:rPr>
      </w:pPr>
    </w:p>
    <w:p w14:paraId="1F7D85C6" w14:textId="77777777" w:rsidR="009F4C6D" w:rsidRDefault="009F4C6D" w:rsidP="004A3890">
      <w:pPr>
        <w:spacing w:after="0" w:line="240" w:lineRule="auto"/>
        <w:rPr>
          <w:rFonts w:ascii="Aptos Display" w:hAnsi="Aptos Display"/>
          <w:sz w:val="22"/>
          <w:szCs w:val="22"/>
        </w:rPr>
      </w:pPr>
      <w:r w:rsidRPr="005B6AAB">
        <w:rPr>
          <w:rFonts w:ascii="Aptos Display" w:hAnsi="Aptos Display"/>
          <w:sz w:val="22"/>
          <w:szCs w:val="22"/>
        </w:rPr>
        <w:t xml:space="preserve">Nestled on a gently sloping hillside with breathtaking views of Willamette Valley's farms and vineyards, The Setting Inn offers the ultimate retreat in Oregon's Wine Country. Ideally located just minutes from the top wineries and vineyards of Newberg, Dayton, Carlton, and Dundee, Oregon—the heart of the Willamette Valley wine scene—this charming inn is the perfect base for your getaway. </w:t>
      </w:r>
    </w:p>
    <w:p w14:paraId="2F260E01" w14:textId="77777777" w:rsidR="004A3890" w:rsidRPr="005B6AAB" w:rsidRDefault="004A3890" w:rsidP="004A3890">
      <w:pPr>
        <w:spacing w:after="0" w:line="240" w:lineRule="auto"/>
        <w:rPr>
          <w:rFonts w:ascii="Aptos Display" w:hAnsi="Aptos Display"/>
          <w:sz w:val="22"/>
          <w:szCs w:val="22"/>
        </w:rPr>
      </w:pPr>
    </w:p>
    <w:p w14:paraId="687CCF7F" w14:textId="77777777" w:rsidR="002D5CB5" w:rsidRPr="009F4C6D" w:rsidRDefault="009545A2" w:rsidP="004A3890">
      <w:pPr>
        <w:spacing w:after="0" w:line="240" w:lineRule="auto"/>
        <w:rPr>
          <w:rFonts w:ascii="Aptos Display" w:hAnsi="Aptos Display"/>
          <w:sz w:val="22"/>
          <w:szCs w:val="22"/>
        </w:rPr>
      </w:pPr>
      <w:r w:rsidRPr="009F4C6D">
        <w:rPr>
          <w:rFonts w:ascii="Aptos Display" w:hAnsi="Aptos Display"/>
          <w:sz w:val="22"/>
          <w:szCs w:val="22"/>
          <w:u w:val="single"/>
        </w:rPr>
        <w:t>The Setting Inn, Willamette Valley (Newberg, Oregon)</w:t>
      </w:r>
    </w:p>
    <w:p w14:paraId="31897AF6" w14:textId="424B8729" w:rsidR="004A3890" w:rsidRDefault="004A3890" w:rsidP="004A3890">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Escape for a serene 2-night</w:t>
      </w:r>
      <w:r>
        <w:rPr>
          <w:rFonts w:ascii="Aptos Display" w:hAnsi="Aptos Display"/>
          <w:sz w:val="22"/>
          <w:szCs w:val="22"/>
        </w:rPr>
        <w:t xml:space="preserve"> (Sun-Thurs)</w:t>
      </w:r>
      <w:r w:rsidRPr="00B56267">
        <w:rPr>
          <w:rFonts w:ascii="Aptos Display" w:hAnsi="Aptos Display"/>
          <w:sz w:val="22"/>
          <w:szCs w:val="22"/>
        </w:rPr>
        <w:t xml:space="preserve"> retreat at The Setting Inn and enjoy exclusive access to the entire property</w:t>
      </w:r>
      <w:r>
        <w:rPr>
          <w:rFonts w:ascii="Aptos Display" w:hAnsi="Aptos Display"/>
          <w:sz w:val="22"/>
          <w:szCs w:val="22"/>
        </w:rPr>
        <w:t xml:space="preserve"> - </w:t>
      </w:r>
      <w:r w:rsidRPr="00B56267">
        <w:rPr>
          <w:rFonts w:ascii="Aptos Display" w:hAnsi="Aptos Display"/>
          <w:sz w:val="22"/>
          <w:szCs w:val="22"/>
        </w:rPr>
        <w:t>you're the only guests staying at the inn. Each morning, treat yourself to an Oregon-inspired rustic continental breakfast delivered directly to your room, featuring pastries from Pearl Bakery, fresh fruit, orange juice, hard-boiled eggs, and yogurt with granola bowls.</w:t>
      </w:r>
    </w:p>
    <w:p w14:paraId="023F0C35" w14:textId="77777777" w:rsidR="004A3890" w:rsidRPr="00B56267" w:rsidRDefault="004A3890" w:rsidP="004A3890">
      <w:pPr>
        <w:pStyle w:val="NormalWeb"/>
        <w:spacing w:before="0" w:beforeAutospacing="0" w:after="0" w:afterAutospacing="0"/>
        <w:rPr>
          <w:rFonts w:ascii="Aptos Display" w:hAnsi="Aptos Display"/>
          <w:sz w:val="22"/>
          <w:szCs w:val="22"/>
        </w:rPr>
      </w:pPr>
    </w:p>
    <w:p w14:paraId="47C402C1" w14:textId="77777777" w:rsidR="004A3890" w:rsidRPr="00B56267" w:rsidRDefault="004A3890" w:rsidP="004A3890">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The main building offers eight unique guest accommodations spread across three floors, each designed to offer different views and experiences. Many rooms feature balconies or patios that overlook the beautifully landscaped gardens, creating a peaceful and private setting for your stay.</w:t>
      </w:r>
    </w:p>
    <w:p w14:paraId="45AA741E" w14:textId="77777777" w:rsidR="004A3890" w:rsidRDefault="004A3890" w:rsidP="004A3890">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Though each room is thoughtfully laid out, they all share the same premium amenities. Guests at The Setting Inn enjoy ultra-comfortable King beds, satellite flat-screen TVs with NFL Sunday Ticket and HBO, Nespresso coffee machines, Steven Smith Tea, and plush robes and slippers. To elevate your experience, indulge in eco-friendly bath products from LATHER’s Bamboo Lemongrass Collection, offering a luxurious touch during your stay in Willamette.</w:t>
      </w:r>
    </w:p>
    <w:p w14:paraId="373570C0" w14:textId="77777777" w:rsidR="004A3890" w:rsidRPr="00B56267" w:rsidRDefault="004A3890" w:rsidP="004A3890">
      <w:pPr>
        <w:pStyle w:val="NormalWeb"/>
        <w:spacing w:before="0" w:beforeAutospacing="0" w:after="0" w:afterAutospacing="0"/>
        <w:rPr>
          <w:rFonts w:ascii="Aptos Display" w:hAnsi="Aptos Display"/>
          <w:sz w:val="22"/>
          <w:szCs w:val="22"/>
        </w:rPr>
      </w:pPr>
    </w:p>
    <w:p w14:paraId="18334507" w14:textId="77777777" w:rsidR="004A3890" w:rsidRDefault="004A3890" w:rsidP="004A3890">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 xml:space="preserve">The property also boasts a spacious </w:t>
      </w:r>
      <w:r>
        <w:rPr>
          <w:rFonts w:ascii="Aptos Display" w:hAnsi="Aptos Display"/>
          <w:sz w:val="22"/>
          <w:szCs w:val="22"/>
        </w:rPr>
        <w:t>barn lounge</w:t>
      </w:r>
      <w:r w:rsidRPr="00B56267">
        <w:rPr>
          <w:rFonts w:ascii="Aptos Display" w:hAnsi="Aptos Display"/>
          <w:sz w:val="22"/>
          <w:szCs w:val="22"/>
        </w:rPr>
        <w:t xml:space="preserve"> with a</w:t>
      </w:r>
      <w:r>
        <w:rPr>
          <w:rFonts w:ascii="Aptos Display" w:hAnsi="Aptos Display"/>
          <w:sz w:val="22"/>
          <w:szCs w:val="22"/>
        </w:rPr>
        <w:t xml:space="preserve">pproximately </w:t>
      </w:r>
      <w:r w:rsidRPr="00B56267">
        <w:rPr>
          <w:rFonts w:ascii="Aptos Display" w:hAnsi="Aptos Display"/>
          <w:sz w:val="22"/>
          <w:szCs w:val="22"/>
        </w:rPr>
        <w:t xml:space="preserve">1,200 square feet of indoor event space. Surrounded by picturesque views of the Willamette Valley, it offers a private, tranquil setting ideal for your </w:t>
      </w:r>
      <w:r>
        <w:rPr>
          <w:rFonts w:ascii="Aptos Display" w:hAnsi="Aptos Display"/>
          <w:sz w:val="22"/>
          <w:szCs w:val="22"/>
        </w:rPr>
        <w:t xml:space="preserve">getaway.  </w:t>
      </w:r>
      <w:r w:rsidRPr="00B56267">
        <w:rPr>
          <w:rFonts w:ascii="Aptos Display" w:hAnsi="Aptos Display"/>
          <w:sz w:val="22"/>
          <w:szCs w:val="22"/>
        </w:rPr>
        <w:t xml:space="preserve"> Just south of the main house, the expansive, well-manicured grounds provide an excellent location for an outdoor event, whether under the warm sun or the starry sky.</w:t>
      </w:r>
    </w:p>
    <w:p w14:paraId="68E57E83" w14:textId="77777777" w:rsidR="004A3890" w:rsidRPr="009F4C6D" w:rsidRDefault="004A3890" w:rsidP="004A3890">
      <w:pPr>
        <w:spacing w:after="0" w:line="240" w:lineRule="auto"/>
        <w:rPr>
          <w:rFonts w:ascii="Aptos Display" w:hAnsi="Aptos Display"/>
          <w:sz w:val="22"/>
          <w:szCs w:val="22"/>
        </w:rPr>
      </w:pPr>
    </w:p>
    <w:p w14:paraId="6F59DCDC" w14:textId="77777777" w:rsidR="004A3890" w:rsidRPr="00130E4B" w:rsidRDefault="004A3890" w:rsidP="004A3890">
      <w:pPr>
        <w:spacing w:after="0" w:line="240" w:lineRule="auto"/>
        <w:rPr>
          <w:rFonts w:ascii="Aptos Display" w:hAnsi="Aptos Display"/>
          <w:sz w:val="22"/>
          <w:szCs w:val="22"/>
        </w:rPr>
      </w:pPr>
      <w:bookmarkStart w:id="0" w:name="_Hlk192579537"/>
      <w:r>
        <w:rPr>
          <w:rFonts w:ascii="Aptos Display" w:hAnsi="Aptos Display"/>
          <w:sz w:val="22"/>
          <w:szCs w:val="22"/>
          <w:u w:val="single"/>
        </w:rPr>
        <w:t>The Setting Wine Tasting</w:t>
      </w:r>
    </w:p>
    <w:bookmarkEnd w:id="0"/>
    <w:p w14:paraId="657AE193" w14:textId="77777777" w:rsidR="004A3890" w:rsidRPr="00792614" w:rsidRDefault="004A3890" w:rsidP="004A3890">
      <w:pPr>
        <w:spacing w:after="0" w:line="240" w:lineRule="auto"/>
        <w:rPr>
          <w:rFonts w:ascii="Aptos Display" w:hAnsi="Aptos Display"/>
          <w:sz w:val="22"/>
          <w:szCs w:val="22"/>
        </w:rPr>
      </w:pPr>
      <w:r w:rsidRPr="00792614">
        <w:rPr>
          <w:rFonts w:ascii="Aptos Display" w:hAnsi="Aptos Display"/>
          <w:sz w:val="22"/>
          <w:szCs w:val="22"/>
        </w:rPr>
        <w:t>We invite you to indulge in a private tasting experience featuring The Setting Wines’ acclaimed, small-lot varietals inspired by the Bordeaux and Burgundy regions—crafted from exceptional vineyard sites in Sonoma County and Napa Valley, California, as well as Oregon’s Willamette Valley.</w:t>
      </w:r>
    </w:p>
    <w:p w14:paraId="362CB5C5" w14:textId="77777777" w:rsidR="004A3890" w:rsidRPr="00792614" w:rsidRDefault="004A3890" w:rsidP="004A3890">
      <w:pPr>
        <w:spacing w:after="0" w:line="240" w:lineRule="auto"/>
        <w:rPr>
          <w:rFonts w:ascii="Aptos Display" w:hAnsi="Aptos Display"/>
          <w:sz w:val="22"/>
          <w:szCs w:val="22"/>
        </w:rPr>
      </w:pPr>
      <w:r w:rsidRPr="00792614">
        <w:rPr>
          <w:rFonts w:ascii="Aptos Display" w:hAnsi="Aptos Display"/>
          <w:sz w:val="22"/>
          <w:szCs w:val="22"/>
        </w:rPr>
        <w:t>Founded by three friends united by a shared passion for wine and philanthropy, The Setting Wines is the vision of entrepreneurs Jeff Cova and Noah McMahon, who partnered with renowned winemaker Jesse Katz. Together, they’ve created wines that not only reflect a commitment to world-class quality but also support meaningful causes. Jesse’s meticulous approach to precision farming and winemaking ensures each bottle captures the unique character of its origin, enhancing both the place it comes from and the moments in which it’s enjoyed.</w:t>
      </w:r>
    </w:p>
    <w:p w14:paraId="6C461996" w14:textId="77777777" w:rsidR="004A3890" w:rsidRDefault="004A3890" w:rsidP="004A3890">
      <w:pPr>
        <w:spacing w:after="0" w:line="240" w:lineRule="auto"/>
        <w:rPr>
          <w:rFonts w:ascii="Aptos Display" w:hAnsi="Aptos Display"/>
          <w:sz w:val="22"/>
          <w:szCs w:val="22"/>
        </w:rPr>
      </w:pPr>
    </w:p>
    <w:p w14:paraId="78EE0B27" w14:textId="58507338" w:rsidR="004A3890" w:rsidRPr="009F4C6D" w:rsidRDefault="004A3890" w:rsidP="004A3890">
      <w:pPr>
        <w:spacing w:after="0" w:line="240" w:lineRule="auto"/>
        <w:rPr>
          <w:rFonts w:ascii="Aptos Display" w:hAnsi="Aptos Display"/>
          <w:sz w:val="22"/>
          <w:szCs w:val="22"/>
        </w:rPr>
      </w:pPr>
      <w:r w:rsidRPr="00792614">
        <w:rPr>
          <w:rFonts w:ascii="Aptos Display" w:hAnsi="Aptos Display"/>
          <w:sz w:val="22"/>
          <w:szCs w:val="22"/>
        </w:rPr>
        <w:t>Nestled in the heart of Oregon wine country, The Setting Wines</w:t>
      </w:r>
      <w:r>
        <w:rPr>
          <w:rFonts w:ascii="Aptos Display" w:hAnsi="Aptos Display"/>
          <w:sz w:val="22"/>
          <w:szCs w:val="22"/>
        </w:rPr>
        <w:t xml:space="preserve"> </w:t>
      </w:r>
      <w:r w:rsidRPr="00792614">
        <w:rPr>
          <w:rFonts w:ascii="Aptos Display" w:hAnsi="Aptos Display"/>
          <w:sz w:val="22"/>
          <w:szCs w:val="22"/>
        </w:rPr>
        <w:t>hospitality space is located within The Setting Inn in the Willamette Valley. Join us for a curated 90-minute tasting experience, where you'll enjoy small-lot Chardonnay and Pinot Noir from the Willamette Valley, alongside our acclaimed Cabernet Sauvignon and Bordeaux varietals sourced from premier vineyard sites in Napa Valley and Sonoma County.</w:t>
      </w:r>
    </w:p>
    <w:p w14:paraId="4A3B8A7B" w14:textId="77777777" w:rsidR="004A3890" w:rsidRDefault="004A3890" w:rsidP="004A3890">
      <w:pPr>
        <w:spacing w:after="0" w:line="240" w:lineRule="auto"/>
        <w:rPr>
          <w:rFonts w:ascii="Aptos Display" w:hAnsi="Aptos Display"/>
          <w:sz w:val="22"/>
          <w:szCs w:val="22"/>
        </w:rPr>
      </w:pPr>
      <w:r>
        <w:rPr>
          <w:rFonts w:ascii="Aptos Display" w:hAnsi="Aptos Display"/>
          <w:sz w:val="22"/>
          <w:szCs w:val="22"/>
        </w:rPr>
        <w:lastRenderedPageBreak/>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693C6281" w14:textId="77777777" w:rsidR="004A3890" w:rsidRDefault="004A3890" w:rsidP="004A3890">
      <w:pPr>
        <w:spacing w:after="0" w:line="240" w:lineRule="auto"/>
        <w:rPr>
          <w:rFonts w:ascii="Aptos Display" w:hAnsi="Aptos Display"/>
          <w:sz w:val="22"/>
          <w:szCs w:val="22"/>
        </w:rPr>
      </w:pPr>
    </w:p>
    <w:p w14:paraId="4C9BD630" w14:textId="77777777" w:rsidR="004A3890" w:rsidRPr="00E71448" w:rsidRDefault="004A3890" w:rsidP="004A3890">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1174DBC9" w14:textId="77777777" w:rsidR="004A3890" w:rsidRDefault="004A3890" w:rsidP="004A3890">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4B207A85" w14:textId="77777777" w:rsidR="004A3890" w:rsidRPr="00E71448" w:rsidRDefault="004A3890" w:rsidP="004A3890">
      <w:pPr>
        <w:spacing w:after="0" w:line="240" w:lineRule="auto"/>
        <w:rPr>
          <w:rFonts w:ascii="Aptos Display" w:hAnsi="Aptos Display"/>
          <w:sz w:val="22"/>
          <w:szCs w:val="22"/>
        </w:rPr>
      </w:pPr>
    </w:p>
    <w:p w14:paraId="38092B9D" w14:textId="77777777" w:rsidR="004A3890" w:rsidRPr="00E71448" w:rsidRDefault="004A3890" w:rsidP="004A3890">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52DB0412" w14:textId="77777777" w:rsidR="004A3890" w:rsidRDefault="004A3890" w:rsidP="004A3890">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737FECE" w14:textId="77777777" w:rsidR="004A3890" w:rsidRPr="00E71448" w:rsidRDefault="004A3890" w:rsidP="004A3890">
      <w:pPr>
        <w:spacing w:after="0" w:line="240" w:lineRule="auto"/>
        <w:rPr>
          <w:rFonts w:ascii="Aptos Display" w:hAnsi="Aptos Display"/>
          <w:sz w:val="22"/>
          <w:szCs w:val="22"/>
        </w:rPr>
      </w:pPr>
    </w:p>
    <w:p w14:paraId="7A36FD9F" w14:textId="77777777" w:rsidR="004A3890" w:rsidRPr="00E71448" w:rsidRDefault="004A3890" w:rsidP="004A3890">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2AACC655" w14:textId="77777777" w:rsidR="004A3890" w:rsidRPr="00E71448" w:rsidRDefault="004A3890" w:rsidP="004A3890">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4141713D" w14:textId="77777777" w:rsidR="004A3890" w:rsidRPr="00E71448" w:rsidRDefault="004A3890" w:rsidP="004A3890">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08944E48" w14:textId="28A482D2" w:rsidR="002D5CB5" w:rsidRPr="009F4C6D" w:rsidRDefault="002D5CB5" w:rsidP="004A3890">
      <w:pPr>
        <w:spacing w:after="0" w:line="240" w:lineRule="auto"/>
        <w:rPr>
          <w:rFonts w:ascii="Aptos Display" w:hAnsi="Aptos Display"/>
          <w:sz w:val="22"/>
          <w:szCs w:val="22"/>
        </w:rPr>
      </w:pPr>
    </w:p>
    <w:sectPr w:rsidR="002D5CB5" w:rsidRPr="009F4C6D">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A2D1710"/>
    <w:multiLevelType w:val="hybridMultilevel"/>
    <w:tmpl w:val="29F4EECC"/>
    <w:lvl w:ilvl="0" w:tplc="CA3275DA">
      <w:start w:val="1"/>
      <w:numFmt w:val="bullet"/>
      <w:lvlText w:val=""/>
      <w:lvlJc w:val="left"/>
      <w:pPr>
        <w:tabs>
          <w:tab w:val="num" w:pos="720"/>
        </w:tabs>
        <w:ind w:left="720" w:hanging="360"/>
      </w:pPr>
      <w:rPr>
        <w:rFonts w:ascii="Symbol" w:hAnsi="Symbol" w:cs="Symbol" w:hint="default"/>
      </w:rPr>
    </w:lvl>
    <w:lvl w:ilvl="1" w:tplc="984E85A2">
      <w:start w:val="1"/>
      <w:numFmt w:val="bullet"/>
      <w:lvlText w:val="o"/>
      <w:lvlJc w:val="left"/>
      <w:pPr>
        <w:tabs>
          <w:tab w:val="num" w:pos="1440"/>
        </w:tabs>
        <w:ind w:left="1440" w:hanging="360"/>
      </w:pPr>
      <w:rPr>
        <w:rFonts w:ascii="Courier New" w:hAnsi="Courier New" w:cs="Courier New" w:hint="default"/>
      </w:rPr>
    </w:lvl>
    <w:lvl w:ilvl="2" w:tplc="FCCEF822">
      <w:start w:val="1"/>
      <w:numFmt w:val="bullet"/>
      <w:lvlText w:val=""/>
      <w:lvlJc w:val="left"/>
      <w:pPr>
        <w:tabs>
          <w:tab w:val="num" w:pos="2160"/>
        </w:tabs>
        <w:ind w:left="2160" w:hanging="360"/>
      </w:pPr>
      <w:rPr>
        <w:rFonts w:ascii="Wingdings" w:hAnsi="Wingdings" w:cs="Wingdings" w:hint="default"/>
      </w:rPr>
    </w:lvl>
    <w:lvl w:ilvl="3" w:tplc="EB584E62">
      <w:start w:val="1"/>
      <w:numFmt w:val="bullet"/>
      <w:lvlText w:val=""/>
      <w:lvlJc w:val="left"/>
      <w:pPr>
        <w:tabs>
          <w:tab w:val="num" w:pos="2880"/>
        </w:tabs>
        <w:ind w:left="2880" w:hanging="360"/>
      </w:pPr>
      <w:rPr>
        <w:rFonts w:ascii="Symbol" w:hAnsi="Symbol" w:cs="Symbol" w:hint="default"/>
      </w:rPr>
    </w:lvl>
    <w:lvl w:ilvl="4" w:tplc="7C705C5A">
      <w:start w:val="1"/>
      <w:numFmt w:val="bullet"/>
      <w:lvlText w:val="o"/>
      <w:lvlJc w:val="left"/>
      <w:pPr>
        <w:tabs>
          <w:tab w:val="num" w:pos="3600"/>
        </w:tabs>
        <w:ind w:left="3600" w:hanging="360"/>
      </w:pPr>
      <w:rPr>
        <w:rFonts w:ascii="Courier New" w:hAnsi="Courier New" w:cs="Courier New" w:hint="default"/>
      </w:rPr>
    </w:lvl>
    <w:lvl w:ilvl="5" w:tplc="53069D2C">
      <w:start w:val="1"/>
      <w:numFmt w:val="bullet"/>
      <w:lvlText w:val=""/>
      <w:lvlJc w:val="left"/>
      <w:pPr>
        <w:tabs>
          <w:tab w:val="num" w:pos="4320"/>
        </w:tabs>
        <w:ind w:left="4320" w:hanging="360"/>
      </w:pPr>
      <w:rPr>
        <w:rFonts w:ascii="Wingdings" w:hAnsi="Wingdings" w:cs="Wingdings" w:hint="default"/>
      </w:rPr>
    </w:lvl>
    <w:lvl w:ilvl="6" w:tplc="4EEAC2B4">
      <w:start w:val="1"/>
      <w:numFmt w:val="bullet"/>
      <w:lvlText w:val=""/>
      <w:lvlJc w:val="left"/>
      <w:pPr>
        <w:tabs>
          <w:tab w:val="num" w:pos="5040"/>
        </w:tabs>
        <w:ind w:left="5040" w:hanging="360"/>
      </w:pPr>
      <w:rPr>
        <w:rFonts w:ascii="Symbol" w:hAnsi="Symbol" w:cs="Symbol" w:hint="default"/>
      </w:rPr>
    </w:lvl>
    <w:lvl w:ilvl="7" w:tplc="18CEDFAE">
      <w:start w:val="1"/>
      <w:numFmt w:val="bullet"/>
      <w:lvlText w:val="o"/>
      <w:lvlJc w:val="left"/>
      <w:pPr>
        <w:tabs>
          <w:tab w:val="num" w:pos="5760"/>
        </w:tabs>
        <w:ind w:left="5760" w:hanging="360"/>
      </w:pPr>
      <w:rPr>
        <w:rFonts w:ascii="Courier New" w:hAnsi="Courier New" w:cs="Courier New" w:hint="default"/>
      </w:rPr>
    </w:lvl>
    <w:lvl w:ilvl="8" w:tplc="95F41B06">
      <w:start w:val="1"/>
      <w:numFmt w:val="bullet"/>
      <w:lvlText w:val=""/>
      <w:lvlJc w:val="left"/>
      <w:pPr>
        <w:tabs>
          <w:tab w:val="num" w:pos="6480"/>
        </w:tabs>
        <w:ind w:left="6480" w:hanging="360"/>
      </w:pPr>
      <w:rPr>
        <w:rFonts w:ascii="Wingdings" w:hAnsi="Wingdings" w:cs="Wingdings" w:hint="default"/>
      </w:rPr>
    </w:lvl>
  </w:abstractNum>
  <w:num w:numId="1" w16cid:durableId="1288051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B5"/>
    <w:rsid w:val="000A7EAE"/>
    <w:rsid w:val="001777E6"/>
    <w:rsid w:val="001B42DD"/>
    <w:rsid w:val="002D5CB5"/>
    <w:rsid w:val="003F1D4E"/>
    <w:rsid w:val="00400B63"/>
    <w:rsid w:val="004A3890"/>
    <w:rsid w:val="006D6C01"/>
    <w:rsid w:val="009545A2"/>
    <w:rsid w:val="009F4C6D"/>
    <w:rsid w:val="00A10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20FF1"/>
  <w15:docId w15:val="{6DD6C640-9267-463A-9FEF-530475E54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NormalWeb">
    <w:name w:val="Normal (Web)"/>
    <w:basedOn w:val="Normal"/>
    <w:uiPriority w:val="99"/>
    <w:unhideWhenUsed/>
    <w:rsid w:val="004A38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3900</Characters>
  <Application>Microsoft Office Word</Application>
  <DocSecurity>0</DocSecurity>
  <Lines>32</Lines>
  <Paragraphs>9</Paragraphs>
  <ScaleCrop>false</ScaleCrop>
  <Manager/>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 (12/2024)</dc:creator>
  <cp:keywords/>
  <dc:description/>
  <cp:lastModifiedBy>Winspire 141</cp:lastModifiedBy>
  <cp:revision>2</cp:revision>
  <dcterms:created xsi:type="dcterms:W3CDTF">2025-04-25T21:36:00Z</dcterms:created>
  <dcterms:modified xsi:type="dcterms:W3CDTF">2025-04-25T21:36:00Z</dcterms:modified>
  <cp:category/>
</cp:coreProperties>
</file>